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F292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51</w:t>
            </w:r>
            <w:r w:rsidR="00AF2923">
              <w:rPr>
                <w:sz w:val="28"/>
                <w:szCs w:val="28"/>
                <w:lang w:eastAsia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92F36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F92F36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1</w:t>
      </w:r>
      <w:r w:rsidR="005235E3">
        <w:rPr>
          <w:sz w:val="26"/>
          <w:szCs w:val="26"/>
        </w:rPr>
        <w:t>1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Зеленина Андрея Владимировича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5235E3">
        <w:rPr>
          <w:sz w:val="26"/>
          <w:szCs w:val="26"/>
        </w:rPr>
        <w:t xml:space="preserve">Зеленин Андрей Владимирович </w:t>
      </w:r>
      <w:r w:rsidRPr="00146C33">
        <w:rPr>
          <w:sz w:val="26"/>
          <w:szCs w:val="26"/>
        </w:rPr>
        <w:t xml:space="preserve"> 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>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5235E3">
        <w:rPr>
          <w:sz w:val="26"/>
          <w:szCs w:val="26"/>
        </w:rPr>
        <w:t>Зелениным Андреем Владимировичем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13</w:t>
      </w:r>
      <w:r w:rsidR="00B17E46" w:rsidRPr="00146C33">
        <w:rPr>
          <w:sz w:val="26"/>
          <w:szCs w:val="26"/>
        </w:rPr>
        <w:t xml:space="preserve"> листов с заявленными подпи</w:t>
      </w:r>
      <w:r w:rsidRPr="00146C33">
        <w:rPr>
          <w:sz w:val="26"/>
          <w:szCs w:val="26"/>
        </w:rPr>
        <w:t>сями избирателей в количестве 46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5235E3">
        <w:rPr>
          <w:sz w:val="26"/>
          <w:szCs w:val="26"/>
        </w:rPr>
        <w:t>Зелениным Андреем Владимировичем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5235E3">
        <w:rPr>
          <w:sz w:val="26"/>
          <w:szCs w:val="26"/>
        </w:rPr>
        <w:t>Зелениным Андреем Владимировичем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Зеленина Андрея Владимировича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5235E3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>веренных подписей избирателей 3</w:t>
      </w:r>
      <w:r w:rsidRPr="00146C33">
        <w:rPr>
          <w:sz w:val="26"/>
          <w:szCs w:val="26"/>
        </w:rPr>
        <w:t xml:space="preserve"> подписи признан</w:t>
      </w:r>
      <w:r w:rsidR="00146C33" w:rsidRPr="00146C33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146C33" w:rsidRPr="00146C33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B81C54" w:rsidRPr="00146C33">
        <w:rPr>
          <w:sz w:val="26"/>
          <w:szCs w:val="26"/>
        </w:rPr>
        <w:t>1</w:t>
      </w:r>
      <w:r w:rsidR="005235E3">
        <w:rPr>
          <w:sz w:val="26"/>
          <w:szCs w:val="26"/>
        </w:rPr>
        <w:t>1</w:t>
      </w:r>
      <w:r w:rsidR="00B81C54" w:rsidRPr="00146C33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Зелениным Андреем Владимировичем</w:t>
      </w:r>
      <w:r w:rsidR="00B81C54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5235E3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B81C54" w:rsidRPr="00146C33">
        <w:rPr>
          <w:sz w:val="26"/>
          <w:szCs w:val="26"/>
        </w:rPr>
        <w:t>1</w:t>
      </w:r>
      <w:r w:rsidR="005235E3">
        <w:rPr>
          <w:sz w:val="26"/>
          <w:szCs w:val="26"/>
        </w:rPr>
        <w:t>1</w:t>
      </w:r>
      <w:r w:rsidR="00B81C54" w:rsidRPr="00146C33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Зеленина Андрея Владимировича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5235E3">
        <w:rPr>
          <w:sz w:val="26"/>
          <w:szCs w:val="26"/>
        </w:rPr>
        <w:t xml:space="preserve">Зеленину Андрею Владимировичу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</w:t>
      </w:r>
      <w:bookmarkStart w:id="0" w:name="_GoBack"/>
      <w:bookmarkEnd w:id="0"/>
      <w:r w:rsidR="005235E3">
        <w:rPr>
          <w:sz w:val="26"/>
          <w:szCs w:val="26"/>
        </w:rPr>
        <w:t>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 Кайданович</dc:creator>
  <cp:keywords/>
  <dc:description/>
  <cp:lastModifiedBy>Татьяна Дмитриевна Мельник</cp:lastModifiedBy>
  <cp:revision>21</cp:revision>
  <dcterms:created xsi:type="dcterms:W3CDTF">2017-08-03T09:44:00Z</dcterms:created>
  <dcterms:modified xsi:type="dcterms:W3CDTF">2017-08-06T05:50:00Z</dcterms:modified>
</cp:coreProperties>
</file>